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/>
          <w:b w:val="0"/>
          <w:bCs/>
          <w:sz w:val="44"/>
          <w:szCs w:val="44"/>
        </w:rPr>
        <w:t xml:space="preserve">2021年大数据产业发展试点示范项目      </w:t>
      </w:r>
      <w:r>
        <w:rPr>
          <w:rFonts w:ascii="Times New Roman" w:hAnsi="Times New Roman" w:eastAsia="方正小标宋简体"/>
          <w:b w:val="0"/>
          <w:bCs/>
          <w:sz w:val="44"/>
          <w:szCs w:val="44"/>
        </w:rPr>
        <w:t>申报和实施指南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 w:cs="仿宋"/>
          <w:color w:val="070707"/>
          <w:sz w:val="32"/>
          <w:szCs w:val="32"/>
        </w:rPr>
      </w:pP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为进一步落实《国务院关于印发促进大数据发展行动纲要的通知》（国发〔</w:t>
      </w:r>
      <w:r>
        <w:rPr>
          <w:rFonts w:ascii="Times New Roman" w:hAnsi="Times New Roman" w:eastAsia="仿宋_GB2312"/>
          <w:color w:val="070707"/>
          <w:sz w:val="32"/>
          <w:szCs w:val="32"/>
        </w:rPr>
        <w:t>2015〕50号），切实做好2021年大数据产业发展试点示范项目（以下简称“2021年试点示范项目”）的组织实施工作，特制定本指南。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>一、总体目标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color w:val="070707"/>
          <w:sz w:val="32"/>
          <w:szCs w:val="32"/>
        </w:rPr>
        <w:t>通过试点示范项目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工作的实施</w:t>
      </w:r>
      <w:r>
        <w:rPr>
          <w:rFonts w:ascii="Times New Roman" w:hAnsi="Times New Roman" w:eastAsia="仿宋_GB2312"/>
          <w:color w:val="070707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探索</w:t>
      </w:r>
      <w:r>
        <w:rPr>
          <w:rFonts w:ascii="Times New Roman" w:hAnsi="Times New Roman" w:eastAsia="仿宋_GB2312"/>
          <w:color w:val="070707"/>
          <w:sz w:val="32"/>
          <w:szCs w:val="32"/>
        </w:rPr>
        <w:t>形成一批可复制、可推广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、</w:t>
      </w:r>
      <w:r>
        <w:rPr>
          <w:rFonts w:ascii="Times New Roman" w:hAnsi="Times New Roman" w:eastAsia="仿宋_GB2312"/>
          <w:color w:val="070707"/>
          <w:sz w:val="32"/>
          <w:szCs w:val="32"/>
        </w:rPr>
        <w:t>可借鉴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的</w:t>
      </w:r>
      <w:r>
        <w:rPr>
          <w:rFonts w:ascii="Times New Roman" w:hAnsi="Times New Roman" w:eastAsia="仿宋_GB2312"/>
          <w:color w:val="070707"/>
          <w:sz w:val="32"/>
          <w:szCs w:val="32"/>
        </w:rPr>
        <w:t>经验模式，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带动全国</w:t>
      </w:r>
      <w:r>
        <w:rPr>
          <w:rFonts w:ascii="Times New Roman" w:hAnsi="Times New Roman" w:eastAsia="仿宋_GB2312"/>
          <w:color w:val="070707"/>
          <w:sz w:val="32"/>
          <w:szCs w:val="32"/>
        </w:rPr>
        <w:t>大数据产业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高质量发展</w:t>
      </w:r>
      <w:r>
        <w:rPr>
          <w:rFonts w:ascii="Times New Roman" w:hAnsi="Times New Roman" w:eastAsia="仿宋_GB2312"/>
          <w:color w:val="070707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bCs/>
          <w:color w:val="070707"/>
          <w:sz w:val="32"/>
          <w:szCs w:val="32"/>
        </w:rPr>
        <w:t>在技术创新方面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，引导企业探索</w:t>
      </w:r>
      <w:r>
        <w:rPr>
          <w:rFonts w:ascii="Times New Roman" w:hAnsi="Times New Roman" w:eastAsia="仿宋_GB2312"/>
          <w:color w:val="070707"/>
          <w:sz w:val="32"/>
          <w:szCs w:val="32"/>
        </w:rPr>
        <w:t>突破数据采集、存储、加工、分析、服务、安全等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环节“卡脖子”</w:t>
      </w:r>
      <w:r>
        <w:rPr>
          <w:rFonts w:ascii="Times New Roman" w:hAnsi="Times New Roman" w:eastAsia="仿宋_GB2312"/>
          <w:color w:val="070707"/>
          <w:sz w:val="32"/>
          <w:szCs w:val="32"/>
        </w:rPr>
        <w:t>瓶颈，形成一批具有核心竞争力的大数据产品，培育一批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具有行业影响力的</w:t>
      </w:r>
      <w:r>
        <w:rPr>
          <w:rFonts w:ascii="Times New Roman" w:hAnsi="Times New Roman" w:eastAsia="仿宋_GB2312"/>
          <w:color w:val="070707"/>
          <w:sz w:val="32"/>
          <w:szCs w:val="32"/>
        </w:rPr>
        <w:t>骨干企业和特色鲜明的创新型中小企业。</w:t>
      </w:r>
      <w:r>
        <w:rPr>
          <w:rFonts w:hint="eastAsia" w:ascii="Times New Roman" w:hAnsi="Times New Roman" w:eastAsia="仿宋_GB2312"/>
          <w:b/>
          <w:bCs/>
          <w:color w:val="070707"/>
          <w:sz w:val="32"/>
          <w:szCs w:val="32"/>
        </w:rPr>
        <w:t>在融合应用方面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，加快</w:t>
      </w:r>
      <w:r>
        <w:rPr>
          <w:rFonts w:ascii="Times New Roman" w:hAnsi="Times New Roman" w:eastAsia="仿宋_GB2312"/>
          <w:color w:val="070707"/>
          <w:sz w:val="32"/>
          <w:szCs w:val="32"/>
        </w:rPr>
        <w:t>大数据在工业、金融、医疗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、</w:t>
      </w:r>
      <w:r>
        <w:rPr>
          <w:rFonts w:ascii="Times New Roman" w:hAnsi="Times New Roman" w:eastAsia="仿宋_GB2312"/>
          <w:color w:val="070707"/>
          <w:sz w:val="32"/>
          <w:szCs w:val="32"/>
        </w:rPr>
        <w:t>应急管理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、城市大脑</w:t>
      </w:r>
      <w:r>
        <w:rPr>
          <w:rFonts w:ascii="Times New Roman" w:hAnsi="Times New Roman" w:eastAsia="仿宋_GB2312"/>
          <w:color w:val="070707"/>
          <w:sz w:val="32"/>
          <w:szCs w:val="32"/>
        </w:rPr>
        <w:t>等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方面的深度</w:t>
      </w:r>
      <w:r>
        <w:rPr>
          <w:rFonts w:ascii="Times New Roman" w:hAnsi="Times New Roman" w:eastAsia="仿宋_GB2312"/>
          <w:color w:val="070707"/>
          <w:sz w:val="32"/>
          <w:szCs w:val="32"/>
        </w:rPr>
        <w:t>应用，形成一批成熟的行业系统解决方案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，鼓励</w:t>
      </w:r>
      <w:r>
        <w:rPr>
          <w:rFonts w:ascii="Times New Roman" w:hAnsi="Times New Roman" w:eastAsia="仿宋_GB2312"/>
          <w:color w:val="070707"/>
          <w:sz w:val="32"/>
          <w:szCs w:val="32"/>
        </w:rPr>
        <w:t>跨行业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、</w:t>
      </w:r>
      <w:r>
        <w:rPr>
          <w:rFonts w:ascii="Times New Roman" w:hAnsi="Times New Roman" w:eastAsia="仿宋_GB2312"/>
          <w:color w:val="070707"/>
          <w:sz w:val="32"/>
          <w:szCs w:val="32"/>
        </w:rPr>
        <w:t>跨领域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数据</w:t>
      </w:r>
      <w:r>
        <w:rPr>
          <w:rFonts w:ascii="Times New Roman" w:hAnsi="Times New Roman" w:eastAsia="仿宋_GB2312"/>
          <w:color w:val="070707"/>
          <w:sz w:val="32"/>
          <w:szCs w:val="32"/>
        </w:rPr>
        <w:t>资源开发利用，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推动</w:t>
      </w:r>
      <w:r>
        <w:rPr>
          <w:rFonts w:ascii="Times New Roman" w:hAnsi="Times New Roman" w:eastAsia="仿宋_GB2312"/>
          <w:color w:val="070707"/>
          <w:sz w:val="32"/>
          <w:szCs w:val="32"/>
        </w:rPr>
        <w:t>大数据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同各产业深度融合</w:t>
      </w:r>
      <w:r>
        <w:rPr>
          <w:rFonts w:ascii="Times New Roman" w:hAnsi="Times New Roman" w:eastAsia="仿宋_GB2312"/>
          <w:color w:val="070707"/>
          <w:sz w:val="32"/>
          <w:szCs w:val="32"/>
        </w:rPr>
        <w:t>。</w:t>
      </w:r>
      <w:r>
        <w:rPr>
          <w:rFonts w:hint="eastAsia" w:ascii="Times New Roman" w:hAnsi="Times New Roman" w:eastAsia="仿宋_GB2312"/>
          <w:b/>
          <w:bCs/>
          <w:color w:val="070707"/>
          <w:sz w:val="32"/>
          <w:szCs w:val="32"/>
        </w:rPr>
        <w:t>在生态培育方面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，引导企业提升数据管理能力，探索数据确权、流通、共享等新业态和新模式，强化产业</w:t>
      </w:r>
      <w:r>
        <w:rPr>
          <w:rFonts w:ascii="Times New Roman" w:hAnsi="Times New Roman" w:eastAsia="仿宋_GB2312"/>
          <w:color w:val="070707"/>
          <w:sz w:val="32"/>
          <w:szCs w:val="32"/>
        </w:rPr>
        <w:t>安全保障能力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，推动</w:t>
      </w:r>
      <w:r>
        <w:rPr>
          <w:rFonts w:ascii="Times New Roman" w:hAnsi="Times New Roman" w:eastAsia="仿宋_GB2312"/>
          <w:color w:val="070707"/>
          <w:sz w:val="32"/>
          <w:szCs w:val="32"/>
        </w:rPr>
        <w:t>形成政产学研用多方联动、协调发展的生态体系。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>二、试点示范内容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70707"/>
          <w:sz w:val="32"/>
          <w:szCs w:val="32"/>
        </w:rPr>
        <w:t>（一）工业大数据</w:t>
      </w:r>
      <w:r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  <w:t>应用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企业生产过程优化方向。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支持企业实施设备数字化改造，升级各类信息系统，形成完整贯通的数据链。在设备状态监测、质量优化、故障预警、能耗排放等方面，鼓励企业加强工业知识、技术、经验的模型化沉淀，推动数据驱动的智能化生产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经营管理模式创新方向。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鼓励企业在精准营销、产品定制、广告精准投放等场景创新应用，推动“产品</w:t>
      </w:r>
      <w:r>
        <w:rPr>
          <w:rFonts w:ascii="Times New Roman" w:hAnsi="Times New Roman" w:eastAsia="仿宋_GB2312"/>
          <w:color w:val="070707"/>
          <w:sz w:val="32"/>
          <w:szCs w:val="32"/>
        </w:rPr>
        <w:t>+服务”模式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发展，提高敏捷服务水平。鼓励提高人力、财务、生产制造、采购等关键经营环节数据利用水平，实现企业管理运营的智能化和科学化。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sz w:val="32"/>
          <w:szCs w:val="32"/>
        </w:rPr>
        <w:t>3.</w:t>
      </w:r>
      <w:r>
        <w:rPr>
          <w:rFonts w:hint="eastAsia" w:ascii="Times New Roman" w:hAnsi="Times New Roman" w:eastAsia="仿宋_GB2312"/>
          <w:b/>
          <w:bCs/>
          <w:color w:val="070707"/>
          <w:sz w:val="32"/>
          <w:szCs w:val="32"/>
        </w:rPr>
        <w:t>产业链供应链管控方向。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支持企业加强供应链核心环节的集成运作和数据共享，推动内部供应链向产业链上下游延伸和拓展。鼓励企业探索智慧物流管理、供应链风险识别、协同一体化管理等新模式，提升产供销平衡、精细化管控和市场响应能力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70707"/>
          <w:sz w:val="32"/>
          <w:szCs w:val="32"/>
        </w:rPr>
        <w:t>（二）行业大数据应用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4.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金融、医疗、应急、城市大脑应用方向。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鼓励大数据在金融领域的风控管理、数字货币等方面创新应用；鼓励在医疗领域的标准制定、数据壁垒打通等方面先行先试；鼓励在应急管理领域的预测研判、响应能力提升等方面大胆探索；鼓励赋能城市大脑建设，推动公共服务便捷化和城市治理精细化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5.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数据跨行业融合应用方向。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鼓励在互联网、能源、通信、交通、政务等信息化基础较好的领域，探索一批跨领域、跨</w:t>
      </w:r>
      <w:r>
        <w:rPr>
          <w:rFonts w:ascii="Times New Roman" w:hAnsi="Times New Roman" w:eastAsia="仿宋_GB2312"/>
          <w:color w:val="070707"/>
          <w:sz w:val="32"/>
          <w:szCs w:val="32"/>
        </w:rPr>
        <w:t>行业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、跨部门的数据融合应用新方法</w:t>
      </w:r>
      <w:r>
        <w:rPr>
          <w:rFonts w:ascii="Times New Roman" w:hAnsi="Times New Roman" w:eastAsia="仿宋_GB2312"/>
          <w:color w:val="070707"/>
          <w:sz w:val="32"/>
          <w:szCs w:val="32"/>
        </w:rPr>
        <w:t>、新模式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和</w:t>
      </w:r>
      <w:r>
        <w:rPr>
          <w:rFonts w:ascii="Times New Roman" w:hAnsi="Times New Roman" w:eastAsia="仿宋_GB2312"/>
          <w:color w:val="070707"/>
          <w:sz w:val="32"/>
          <w:szCs w:val="32"/>
        </w:rPr>
        <w:t>新机制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70707"/>
          <w:sz w:val="32"/>
          <w:szCs w:val="32"/>
        </w:rPr>
        <w:t>（三）大数据重点产品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6.大数据存储管理方向。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支持基于海量多源异构数据存储技术、实时流分析数据管理技术、高效可扩展计算架构与引擎等技术，研制高效能、高可靠、强实时的大数据存储管理产品。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7.大数据分析挖掘方向。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支持基于面向异构数据分析算法与弹性分析计算框架、大规模分布式统计分析算法、大数据可视计算与交互等技术，研制数据处理、分析、挖掘、可视化等产品。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333333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8.大数据安全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保障</w:t>
      </w: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支持研制大数据环境下的安全审计、数据加密、数据脱敏、数据流动监控与追溯等产品，鼓励</w:t>
      </w:r>
      <w:r>
        <w:rPr>
          <w:rFonts w:ascii="Times New Roman" w:hAnsi="Times New Roman" w:eastAsia="仿宋_GB2312"/>
          <w:color w:val="070707"/>
          <w:sz w:val="32"/>
          <w:szCs w:val="32"/>
        </w:rPr>
        <w:t>建设大数据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安全</w:t>
      </w:r>
      <w:r>
        <w:rPr>
          <w:rFonts w:ascii="Times New Roman" w:hAnsi="Times New Roman" w:eastAsia="仿宋_GB2312"/>
          <w:color w:val="070707"/>
          <w:sz w:val="32"/>
          <w:szCs w:val="32"/>
        </w:rPr>
        <w:t>保障平台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。</w:t>
      </w:r>
    </w:p>
    <w:p>
      <w:pPr>
        <w:pStyle w:val="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643" w:firstLineChars="200"/>
        <w:jc w:val="both"/>
        <w:textAlignment w:val="auto"/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70707"/>
          <w:sz w:val="32"/>
          <w:szCs w:val="32"/>
        </w:rPr>
        <w:t>（四）数据管理</w:t>
      </w:r>
      <w:r>
        <w:rPr>
          <w:rFonts w:ascii="楷体_GB2312" w:hAnsi="楷体_GB2312" w:eastAsia="楷体_GB2312" w:cs="楷体_GB2312"/>
          <w:b/>
          <w:bCs/>
          <w:color w:val="070707"/>
          <w:sz w:val="32"/>
          <w:szCs w:val="32"/>
        </w:rPr>
        <w:t>及服务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9.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数据管理能力提升方向。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鼓励数据要素</w:t>
      </w:r>
      <w:r>
        <w:rPr>
          <w:rFonts w:ascii="Times New Roman" w:hAnsi="Times New Roman" w:eastAsia="仿宋_GB2312"/>
          <w:color w:val="070707"/>
          <w:sz w:val="32"/>
          <w:szCs w:val="32"/>
        </w:rPr>
        <w:t>拥有方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基于《数据管理能力成熟度评估模型》（</w:t>
      </w:r>
      <w:r>
        <w:rPr>
          <w:rFonts w:ascii="Times New Roman" w:hAnsi="Times New Roman" w:eastAsia="仿宋_GB2312"/>
          <w:color w:val="070707"/>
          <w:sz w:val="32"/>
          <w:szCs w:val="32"/>
        </w:rPr>
        <w:t>GB/T 36073-2018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，简称</w:t>
      </w:r>
      <w:r>
        <w:rPr>
          <w:rFonts w:ascii="Times New Roman" w:hAnsi="Times New Roman" w:eastAsia="仿宋_GB2312"/>
          <w:color w:val="070707"/>
          <w:sz w:val="32"/>
          <w:szCs w:val="32"/>
        </w:rPr>
        <w:t>DCMM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）国家标准，探索提升自身数据管理能力，</w:t>
      </w:r>
      <w:r>
        <w:rPr>
          <w:rFonts w:ascii="Times New Roman" w:hAnsi="Times New Roman" w:eastAsia="仿宋_GB2312"/>
          <w:color w:val="070707"/>
          <w:sz w:val="32"/>
          <w:szCs w:val="32"/>
        </w:rPr>
        <w:t>申报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此细分方向的工业</w:t>
      </w:r>
      <w:r>
        <w:rPr>
          <w:rFonts w:ascii="Times New Roman" w:hAnsi="Times New Roman" w:eastAsia="仿宋_GB2312"/>
          <w:color w:val="070707"/>
          <w:sz w:val="32"/>
          <w:szCs w:val="32"/>
        </w:rPr>
        <w:t>企业DCMM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评估需达到三级及以上，</w:t>
      </w:r>
      <w:r>
        <w:rPr>
          <w:rFonts w:ascii="Times New Roman" w:hAnsi="Times New Roman" w:eastAsia="仿宋_GB2312"/>
          <w:color w:val="070707"/>
          <w:sz w:val="32"/>
          <w:szCs w:val="32"/>
        </w:rPr>
        <w:t>其他行业企业需达到四级及以上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。鼓励技术服务提供方开发提升企业数据管理能力的工具和平台，申报此细分方向的单位不限DCMM评估级别。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color w:val="070707"/>
          <w:sz w:val="32"/>
          <w:szCs w:val="32"/>
        </w:rPr>
      </w:pP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10.数据服务</w:t>
      </w:r>
      <w:r>
        <w:rPr>
          <w:rFonts w:hint="eastAsia" w:ascii="Times New Roman" w:hAnsi="Times New Roman" w:eastAsia="仿宋_GB2312"/>
          <w:b/>
          <w:bCs/>
          <w:color w:val="070707"/>
          <w:kern w:val="0"/>
          <w:sz w:val="32"/>
          <w:szCs w:val="32"/>
        </w:rPr>
        <w:t>模式</w:t>
      </w:r>
      <w:r>
        <w:rPr>
          <w:rFonts w:ascii="Times New Roman" w:hAnsi="Times New Roman" w:eastAsia="仿宋_GB2312"/>
          <w:b/>
          <w:bCs/>
          <w:color w:val="070707"/>
          <w:kern w:val="0"/>
          <w:sz w:val="32"/>
          <w:szCs w:val="32"/>
        </w:rPr>
        <w:t>创新方向。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鼓励探索构建“数据空间”“数据</w:t>
      </w:r>
      <w:r>
        <w:rPr>
          <w:rFonts w:ascii="Times New Roman" w:hAnsi="Times New Roman" w:eastAsia="仿宋_GB2312"/>
          <w:color w:val="070707"/>
          <w:sz w:val="32"/>
          <w:szCs w:val="32"/>
        </w:rPr>
        <w:t>可用不可见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”等流通共享新模式、新路径。鼓励在数据确权交易、评估定价、行业自律以及数据要素参与分配等方面拔钉除障、先行先试。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>三、申报条件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（一）项目申报主体包括从事及应用大数据采集、存储、加工、分析、服务、安全等相关业务的企业、科研院所和行业协会等。每个申报主体限申报</w:t>
      </w:r>
      <w:r>
        <w:rPr>
          <w:rFonts w:ascii="Times New Roman" w:hAnsi="Times New Roman" w:eastAsia="仿宋_GB2312"/>
          <w:color w:val="070707"/>
          <w:sz w:val="32"/>
          <w:szCs w:val="32"/>
        </w:rPr>
        <w:t>1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个项目，每个项目限申报</w:t>
      </w:r>
      <w:r>
        <w:rPr>
          <w:rFonts w:ascii="Times New Roman" w:hAnsi="Times New Roman" w:eastAsia="仿宋_GB2312"/>
          <w:color w:val="070707"/>
          <w:sz w:val="32"/>
          <w:szCs w:val="32"/>
        </w:rPr>
        <w:t>1个方向。申报主体应遵守国家法律法规和各项规章制度，具有较强的经济实力、技术研发和融合创新能力。申报项目要求拥有自主知识产权、技术先进、应用示范带动作用良好，并具有一定的代表性。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（二）各地工业和信息化主管部门（大数据产业主管部门）、中央企业集团等有关单位（以下统称推荐单位）负责组织项目推荐。各省、自治区、直辖市及新疆生产建设兵团主管部门推荐项目数量不超过</w:t>
      </w:r>
      <w:r>
        <w:rPr>
          <w:rFonts w:ascii="Times New Roman" w:hAnsi="Times New Roman" w:eastAsia="仿宋_GB2312"/>
          <w:color w:val="070707"/>
          <w:sz w:val="32"/>
          <w:szCs w:val="32"/>
        </w:rPr>
        <w:t>10个，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各计划单列市、中央企业集团等有关单位推荐数量不超过</w:t>
      </w:r>
      <w:r>
        <w:rPr>
          <w:rFonts w:ascii="Times New Roman" w:hAnsi="Times New Roman" w:eastAsia="仿宋_GB2312"/>
          <w:color w:val="070707"/>
          <w:sz w:val="32"/>
          <w:szCs w:val="32"/>
        </w:rPr>
        <w:t>5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个</w:t>
      </w:r>
      <w:r>
        <w:rPr>
          <w:rFonts w:ascii="Times New Roman" w:hAnsi="Times New Roman" w:eastAsia="仿宋_GB2312"/>
          <w:color w:val="070707"/>
          <w:sz w:val="32"/>
          <w:szCs w:val="32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firstLine="640" w:firstLineChars="200"/>
        <w:textAlignment w:val="auto"/>
        <w:rPr>
          <w:b w:val="0"/>
          <w:bCs/>
        </w:rPr>
      </w:pPr>
      <w:r>
        <w:rPr>
          <w:rFonts w:hint="eastAsia"/>
          <w:b w:val="0"/>
          <w:bCs/>
        </w:rPr>
        <w:t>四、实施及组织保障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（一）各推荐单位应充分重视</w:t>
      </w:r>
      <w:r>
        <w:rPr>
          <w:rFonts w:ascii="Times New Roman" w:hAnsi="Times New Roman" w:eastAsia="仿宋_GB2312"/>
          <w:color w:val="070707"/>
          <w:sz w:val="32"/>
          <w:szCs w:val="32"/>
        </w:rPr>
        <w:t>2021年试点示范项目的工作落实，结合本地区或本领域的实际情况，本着公平、公正、公开的原则，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推荐基础扎实、特色鲜明、潜力突出的申报主体，并在政策、资金、资源配套等方面加大对入选项目的支持力度，推动试点示范项目在各地方、各行业的应用推广。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070707"/>
          <w:sz w:val="32"/>
          <w:szCs w:val="32"/>
        </w:rPr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（二）工业和信息化部负责对申报项目进行评审，遴选认定符合要求的项目开展试点示范，试点示范期自</w:t>
      </w:r>
      <w:bookmarkStart w:id="0" w:name="_GoBack"/>
      <w:bookmarkEnd w:id="0"/>
      <w:r>
        <w:rPr>
          <w:rFonts w:hint="eastAsia" w:ascii="Times New Roman" w:hAnsi="Times New Roman" w:eastAsia="仿宋_GB2312"/>
          <w:color w:val="070707"/>
          <w:sz w:val="32"/>
          <w:szCs w:val="32"/>
        </w:rPr>
        <w:t>名单公布之日起为期两年。2021年试点示范项目实施期间，将委托第三方机构建立综合动态评价体系，对入选试点示范的申报主体以星级评价、榜单发布的形式进行动态跟踪。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Times New Roman" w:hAnsi="Times New Roman" w:eastAsia="仿宋_GB2312"/>
          <w:color w:val="070707"/>
          <w:sz w:val="32"/>
          <w:szCs w:val="32"/>
        </w:rPr>
        <w:t>（三）各推荐单位应在</w:t>
      </w:r>
      <w:r>
        <w:rPr>
          <w:rFonts w:ascii="Times New Roman" w:hAnsi="Times New Roman" w:eastAsia="仿宋_GB2312"/>
          <w:color w:val="070707"/>
          <w:sz w:val="32"/>
          <w:szCs w:val="32"/>
        </w:rPr>
        <w:t>2021年试点示范项目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两年期满后，对入选的申报主体组织自查评估，工业</w:t>
      </w:r>
      <w:r>
        <w:rPr>
          <w:rFonts w:ascii="Times New Roman" w:hAnsi="Times New Roman" w:eastAsia="仿宋_GB2312"/>
          <w:color w:val="070707"/>
          <w:sz w:val="32"/>
          <w:szCs w:val="32"/>
        </w:rPr>
        <w:t>和信息化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部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将结合</w:t>
      </w:r>
      <w:r>
        <w:rPr>
          <w:rFonts w:ascii="仿宋_GB2312" w:hAnsi="Times New Roman" w:eastAsia="仿宋_GB2312"/>
          <w:color w:val="070707"/>
          <w:sz w:val="32"/>
          <w:szCs w:val="32"/>
        </w:rPr>
        <w:t>自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评估情况开展随机抽查，并从项目综合实力</w:t>
      </w:r>
      <w:r>
        <w:rPr>
          <w:rFonts w:ascii="仿宋_GB2312" w:hAnsi="Times New Roman" w:eastAsia="仿宋_GB2312"/>
          <w:color w:val="070707"/>
          <w:sz w:val="32"/>
          <w:szCs w:val="32"/>
        </w:rPr>
        <w:t>、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关键技术</w:t>
      </w:r>
      <w:r>
        <w:rPr>
          <w:rFonts w:ascii="仿宋_GB2312" w:hAnsi="Times New Roman" w:eastAsia="仿宋_GB2312"/>
          <w:color w:val="070707"/>
          <w:sz w:val="32"/>
          <w:szCs w:val="32"/>
        </w:rPr>
        <w:t>创新、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经济</w:t>
      </w:r>
      <w:r>
        <w:rPr>
          <w:rFonts w:ascii="仿宋_GB2312" w:hAnsi="Times New Roman" w:eastAsia="仿宋_GB2312"/>
          <w:color w:val="070707"/>
          <w:sz w:val="32"/>
          <w:szCs w:val="32"/>
        </w:rPr>
        <w:t>社会效益、产业化推广价值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等</w:t>
      </w:r>
      <w:r>
        <w:rPr>
          <w:rFonts w:ascii="仿宋_GB2312" w:hAnsi="Times New Roman" w:eastAsia="仿宋_GB2312"/>
          <w:color w:val="070707"/>
          <w:sz w:val="32"/>
          <w:szCs w:val="32"/>
        </w:rPr>
        <w:t>维度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进行</w:t>
      </w:r>
      <w:r>
        <w:rPr>
          <w:rFonts w:ascii="仿宋_GB2312" w:hAnsi="Times New Roman" w:eastAsia="仿宋_GB2312"/>
          <w:color w:val="070707"/>
          <w:sz w:val="32"/>
          <w:szCs w:val="32"/>
        </w:rPr>
        <w:t>系统评价，</w:t>
      </w:r>
      <w:r>
        <w:rPr>
          <w:rFonts w:hint="eastAsia" w:ascii="Times New Roman" w:hAnsi="Times New Roman" w:eastAsia="仿宋_GB2312"/>
          <w:color w:val="070707"/>
          <w:sz w:val="32"/>
          <w:szCs w:val="32"/>
        </w:rPr>
        <w:t>建立相应的目录清单</w:t>
      </w:r>
      <w:r>
        <w:rPr>
          <w:rFonts w:hint="eastAsia" w:ascii="仿宋_GB2312" w:hAnsi="Times New Roman" w:eastAsia="仿宋_GB2312"/>
          <w:color w:val="070707"/>
          <w:sz w:val="32"/>
          <w:szCs w:val="32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1"/>
        <w:szCs w:val="3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3067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rFonts w:ascii="Times New Roman" w:hAnsi="Times New Roman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4.1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1Tvwy9EAAAADAQAADwAAAAAAAAABACAAAAAiAAAAZHJzL2Rv&#10;d25yZXYueG1sUEsBAhQAFAAAAAgAh07iQAgBrpUIAgAAAgQAAA4AAAAAAAAAAQAgAAAAIA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  <w:rPr>
                        <w:rFonts w:ascii="Times New Roman" w:hAnsi="Times New Roman"/>
                        <w:sz w:val="21"/>
                        <w:szCs w:val="32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  <w:lang w:val="zh-CN"/>
                      </w:rPr>
                      <w:t>1</w:t>
                    </w:r>
                    <w:r>
                      <w:rPr>
                        <w:rFonts w:ascii="Times New Roman" w:hAnsi="Times New Roman"/>
                        <w:sz w:val="21"/>
                        <w:szCs w:val="32"/>
                      </w:rPr>
                      <w:fldChar w:fldCharType="end"/>
                    </w:r>
                  </w:p>
                  <w:p>
                    <w:pPr>
                      <w:rPr>
                        <w:rFonts w:ascii="Times New Roman" w:hAnsi="Times New Roman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53"/>
    <w:rsid w:val="003A3D8A"/>
    <w:rsid w:val="00C02B13"/>
    <w:rsid w:val="00D91653"/>
    <w:rsid w:val="00F92EB0"/>
    <w:rsid w:val="0A4A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2">
    <w:name w:val="标题 2 Char"/>
    <w:basedOn w:val="8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字符"/>
    <w:link w:val="3"/>
    <w:qFormat/>
    <w:uiPriority w:val="0"/>
    <w:rPr>
      <w:rFonts w:ascii="Arial" w:hAnsi="Arial" w:eastAsia="黑体" w:cs="Times New Roman"/>
      <w:b/>
      <w:sz w:val="32"/>
      <w:szCs w:val="24"/>
    </w:rPr>
  </w:style>
  <w:style w:type="character" w:customStyle="1" w:styleId="14">
    <w:name w:val="页脚 字符"/>
    <w:qFormat/>
    <w:uiPriority w:val="99"/>
    <w:rPr>
      <w:rFonts w:ascii="Calibri" w:hAnsi="Calibri" w:eastAsia="宋体" w:cs="Times New Roman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333</Words>
  <Characters>1903</Characters>
  <Lines>15</Lines>
  <Paragraphs>4</Paragraphs>
  <TotalTime>0</TotalTime>
  <ScaleCrop>false</ScaleCrop>
  <LinksUpToDate>false</LinksUpToDate>
  <CharactersWithSpaces>2232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2021-02-07T07:36:00Z</dcterms:created>
  <dc:creator>gyb1</dc:creator>
  <cp:lastModifiedBy>immortal</cp:lastModifiedBy>
  <dcterms:modified xsi:type="dcterms:W3CDTF">2021-02-22T02:34:51Z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