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w w:val="90"/>
          <w:sz w:val="44"/>
          <w:szCs w:val="44"/>
        </w:rPr>
      </w:pPr>
      <w:r>
        <w:rPr>
          <w:rFonts w:hint="default" w:ascii="Times New Roman" w:hAnsi="Times New Roman" w:cs="Times New Roman"/>
          <w:b/>
          <w:spacing w:val="-20"/>
          <w:w w:val="90"/>
          <w:sz w:val="44"/>
          <w:szCs w:val="44"/>
          <w:highlight w:val="none"/>
        </w:rPr>
        <w:t>武汉市成长性规上工业企业</w:t>
      </w:r>
      <w:r>
        <w:rPr>
          <w:rFonts w:hint="eastAsia" w:ascii="宋体" w:hAnsi="宋体"/>
          <w:b/>
          <w:w w:val="90"/>
          <w:sz w:val="44"/>
          <w:szCs w:val="44"/>
        </w:rPr>
        <w:t>流动资金贷款贴息汇总表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w w:val="90"/>
          <w:sz w:val="44"/>
          <w:szCs w:val="44"/>
        </w:rPr>
      </w:pP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（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月）</w:t>
      </w:r>
    </w:p>
    <w:tbl>
      <w:tblPr>
        <w:tblStyle w:val="2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17"/>
        <w:gridCol w:w="983"/>
        <w:gridCol w:w="709"/>
        <w:gridCol w:w="998"/>
        <w:gridCol w:w="750"/>
        <w:gridCol w:w="1080"/>
        <w:gridCol w:w="1155"/>
        <w:gridCol w:w="1065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年指标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贷款机构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流动资金贷款金额（万元）  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新增流动资金贷款放款时间       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贷款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期限（月）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总产值 （万元）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增幅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（%）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主营业务收入（万元）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增幅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（%）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2"/>
        </w:rPr>
      </w:pPr>
    </w:p>
    <w:p>
      <w:r>
        <w:rPr>
          <w:rFonts w:hint="eastAsia"/>
          <w:kern w:val="0"/>
        </w:rPr>
        <w:t>备注：1、企业名称填全称，且与统计局户头保持一致；2、企业有多笔贷款的，分项逐笔填写每笔贷款，并汇总；3、贷款放款时间等请按“_年_月_日”格式填写</w:t>
      </w:r>
      <w:r>
        <w:rPr>
          <w:rFonts w:hint="eastAsia"/>
          <w:kern w:val="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6C9E"/>
    <w:rsid w:val="0A5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2021-03-09T09:34:00Z</dcterms:created>
  <dc:creator>immortal</dc:creator>
  <cp:lastModifiedBy>immortal</cp:lastModifiedBy>
  <dcterms:modified xsi:type="dcterms:W3CDTF">2021-03-09T09:34:11Z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